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Reçu pour Solde de Tout Compte</w:t>
      </w:r>
    </w:p>
    <w:p>
      <w:pPr>
        <w:spacing w:after="160"/>
      </w:pPr>
      <w:r>
        <w:rPr>
          <w:b/>
          <w:sz w:val="21"/>
        </w:rPr>
        <w:t xml:space="preserve">Nom et prénoms du salarié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Date de fin du contrat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Motif de la rupture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4513"/>
        <w:gridCol w:w="4513"/>
      </w:tblGrid>
      <w:tr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Élément</w:t>
            </w:r>
          </w:p>
        </w:tc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Dernier salaire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Indemnité de congés payés non pris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Indemnité de licenciement (le cas échéant)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Indemnité de préavis (le cas échéant)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Total net versé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salarié (reçu pour solde de tout compte)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GROUP ARC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juriste en droit du travail — le salarié peut dénoncer ce reçu dans le délai légal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GA-REUPOURS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Solde de tout compte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