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Caisse : ______________________ — Date et heure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Procès-Verbal de Contrôle Inopiné de Caisse</w:t>
      </w:r>
    </w:p>
    <w:p>
      <w:pPr>
        <w:spacing w:after="160"/>
      </w:pPr>
      <w:r>
        <w:rPr>
          <w:b/>
          <w:sz w:val="21"/>
        </w:rPr>
        <w:t xml:space="preserve">Contrôleur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Caissier présent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Solde théorique selon brouillard de caisse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3008"/>
        <w:gridCol w:w="3008"/>
        <w:gridCol w:w="3008"/>
      </w:tblGrid>
      <w:tr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Coupures / Moyens de paiement</w:t>
            </w:r>
          </w:p>
        </w:tc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contrôleur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caissier (contradictoire)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GA-PROCSVER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Montant total compté (contradictoirement) : ______________________ F CFA</w:t>
      </w:r>
    </w:p>
    <w:p>
      <w:pPr>
        <w:spacing w:after="120"/>
      </w:pPr>
      <w:r>
        <w:rPr>
          <w:b/>
          <w:sz w:val="21"/>
        </w:rPr>
        <w:t xml:space="preserve">Écart constaté : ______________________ F CFA — Explication : ______________________________________________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Procès-verbal de contrôle inopiné de caisse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