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(pré-numéroté)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Pièce de Caisse — Sortie (Bon de Caisse)</w:t>
      </w:r>
    </w:p>
    <w:p>
      <w:pPr>
        <w:spacing w:after="160"/>
      </w:pPr>
      <w:r>
        <w:rPr>
          <w:b/>
          <w:sz w:val="21"/>
        </w:rPr>
        <w:t xml:space="preserve">Caisse concernée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Payé à (nom)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chiffres)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toutes lettres)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du décaissement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Pièce justificative jointe (facture, reçu...)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08"/>
        <w:gridCol w:w="3008"/>
        <w:gridCol w:w="3008"/>
      </w:tblGrid>
      <w:tr>
        <w:tc>
          <w:tcPr>
            <w:tcW w:w="3008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bénéficiaire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3008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caissier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3008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responsable (visa d'autorisation)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GA-PICEDECA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Pièce de caisse — sortie (bon de caisse)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