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Notes Annexes aux États Financiers</w:t>
      </w:r>
    </w:p>
    <w:p>
      <w:pPr>
        <w:spacing w:after="160"/>
      </w:pPr>
      <w:r>
        <w:rPr>
          <w:b/>
          <w:sz w:val="21"/>
        </w:rPr>
        <w:t xml:space="preserve">Note 1 — Règles et méthodes comptables appliquées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2 — Immobilisations et amortissements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3 — Stocks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4 — Créances et dettes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5 — Capitaux propres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6 — Engagements hors bilan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Note 7 — Événements postérieurs à la clôture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— la trame des notes dépend de la taille de l'entité et du référentiel applicable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GA-NOTESANN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Notes annexes aux états financiers — trame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