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de création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Lettre de Change (Traite)</w:t>
      </w:r>
    </w:p>
    <w:p>
      <w:pPr>
        <w:spacing w:after="160"/>
      </w:pPr>
      <w:r>
        <w:rPr>
          <w:b/>
          <w:sz w:val="21"/>
        </w:rPr>
        <w:t xml:space="preserve">Tireur (créancier — GROUP ARC)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Tiré (débiteur, qui doit payer)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Bénéficiaire (si différent du tireur)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(en chiffres)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(en toutes lettres)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Date et lieu de paiement (échéance)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tireur (GROUP ARC)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Acceptation du tiré (« bon pour acceptation »)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avocat ou votre banque — effet de commerce régi par l'Acte uniforme OHADA portant sur le droit commercial général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GA-LETTREDE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Lettre de change (traite)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