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jc w:val="center"/>
        <w:spacing w:after="300"/>
      </w:pPr>
      <w:r>
        <w:rPr>
          <w:i/>
          <w:sz w:val="20"/>
          <w:color w:val="39B54A"/>
        </w:rPr>
        <w:t xml:space="preserve">Fiche informative — document officiel</w:t>
      </w:r>
    </w:p>
    <w:p>
      <w:pPr>
        <w:spacing w:before="240" w:after="120"/>
        <w:pBdr>
          <w:bottom w:val="single" w:sz="6" w:space="1" w:color="39B54A"/>
        </w:pBdr>
      </w:pPr>
      <w:r>
        <w:rPr>
          <w:b/>
          <w:sz w:val="24"/>
          <w:color w:val="0B1029"/>
        </w:rPr>
        <w:t xml:space="preserve">Documents d'Importation — Fiche Informative</w:t>
      </w:r>
    </w:p>
    <w:p>
      <w:pPr>
        <w:spacing w:after="120"/>
      </w:pPr>
      <w:r>
        <w:rPr>
          <w:b/>
          <w:sz w:val="21"/>
        </w:rPr>
        <w:t xml:space="preserve">Délivré par : Transporteur / transitaire, Chambre de Commerce, Douanes béninoises (plateforme SYDONIA), Autorité portuaire</w:t>
      </w:r>
    </w:p>
    <w:p>
      <w:pPr>
        <w:spacing w:after="120"/>
      </w:pPr>
    </w:p>
    <w:p>
      <w:pPr>
        <w:spacing w:after="120"/>
      </w:pPr>
      <w:r>
        <w:rPr>
          <w:b/>
          <w:sz w:val="21"/>
        </w:rPr>
        <w:t xml:space="preserve">À quoi sert ce document ?</w:t>
      </w:r>
    </w:p>
    <w:p>
      <w:pPr>
        <w:spacing w:after="120"/>
      </w:pPr>
      <w:r>
        <w:rPr>
          <w:sz w:val="21"/>
        </w:rPr>
        <w:t xml:space="preserve">Toute opération d'importation de marchandises nécessite un dossier documentaire complet, exigé par les douanes béninoises et les partenaires logistiques. Ces documents sont pour la plupart délivrés par des tiers (transporteur, chambre de commerce, douane) et non rédigés par l'entreprise elle-même.</w:t>
      </w:r>
    </w:p>
    <w:p>
      <w:pPr>
        <w:spacing w:after="120"/>
      </w:pPr>
    </w:p>
    <w:p>
      <w:pPr>
        <w:spacing w:after="120"/>
      </w:pPr>
      <w:r>
        <w:rPr>
          <w:b/>
          <w:sz w:val="21"/>
        </w:rPr>
        <w:t xml:space="preserve">Comment l'obtenir ?</w:t>
      </w:r>
    </w:p>
    <w:p>
      <w:pPr>
        <w:spacing w:after="80"/>
        <w:ind w:left="360" w:hanging="200"/>
      </w:pPr>
      <w:r>
        <w:rPr>
          <w:sz w:val="21"/>
        </w:rPr>
        <w:t xml:space="preserve">• Connaissement (Bill of Lading) ou Lettre de Transport Aérien (LTA) : délivré par le transporteur, preuve du contrat de transport</w:t>
      </w:r>
    </w:p>
    <w:p>
      <w:pPr>
        <w:spacing w:after="80"/>
        <w:ind w:left="360" w:hanging="200"/>
      </w:pPr>
      <w:r>
        <w:rPr>
          <w:sz w:val="21"/>
        </w:rPr>
        <w:t xml:space="preserve">• Certificat d'origine : délivré par la Chambre de Commerce et d'Industrie du Bénin (ou du pays d'origine)</w:t>
      </w:r>
    </w:p>
    <w:p>
      <w:pPr>
        <w:spacing w:after="80"/>
        <w:ind w:left="360" w:hanging="200"/>
      </w:pPr>
      <w:r>
        <w:rPr>
          <w:sz w:val="21"/>
        </w:rPr>
        <w:t xml:space="preserve">• Déclaration en douane : établie sur la plateforme SYDONIA, par l'importateur ou son commissionnaire en douane agréé</w:t>
      </w:r>
    </w:p>
    <w:p>
      <w:pPr>
        <w:spacing w:after="80"/>
        <w:ind w:left="360" w:hanging="200"/>
      </w:pPr>
      <w:r>
        <w:rPr>
          <w:sz w:val="21"/>
        </w:rPr>
        <w:t xml:space="preserve">• Bordereau Électronique de Suivi des Cargaisons (BESC) : à obtenir avant embarquement, via le Conseil National des Chargeurs du Bénin (CNCB) ou plateforme dédiée</w:t>
      </w:r>
    </w:p>
    <w:p>
      <w:pPr>
        <w:spacing w:after="80"/>
        <w:ind w:left="360" w:hanging="200"/>
      </w:pPr>
      <w:r>
        <w:rPr>
          <w:sz w:val="21"/>
        </w:rPr>
        <w:t xml:space="preserve">• Attestation de vérification : délivrée par la société de vérification mandatée, selon le régime douanier applicable</w:t>
      </w:r>
    </w:p>
    <w:p>
      <w:pPr>
        <w:spacing w:after="80"/>
        <w:ind w:left="360" w:hanging="200"/>
      </w:pPr>
      <w:r>
        <w:rPr>
          <w:sz w:val="21"/>
        </w:rPr>
        <w:t xml:space="preserve">• Quittance douanière : délivrée par la douane après paiement des droits et taxes</w:t>
      </w:r>
    </w:p>
    <w:p>
      <w:pPr>
        <w:spacing w:after="120"/>
      </w:pPr>
    </w:p>
    <w:p>
      <w:pPr>
        <w:spacing w:after="120"/>
      </w:pPr>
      <w:r>
        <w:rPr>
          <w:b/>
          <w:sz w:val="21"/>
        </w:rPr>
        <w:t xml:space="preserve">À noter</w:t>
      </w:r>
    </w:p>
    <w:p>
      <w:pPr>
        <w:spacing w:after="80"/>
        <w:ind w:left="360" w:hanging="200"/>
      </w:pPr>
      <w:r>
        <w:rPr>
          <w:sz w:val="21"/>
        </w:rPr>
        <w:t xml:space="preserve">• Il est recommandé de confier ces démarches à un commissionnaire en douane agréé pour sécuriser le dédouanement</w:t>
      </w:r>
    </w:p>
    <w:p>
      <w:pPr>
        <w:spacing w:after="120"/>
      </w:pPr>
    </w:p>
    <w:p>
      <w:pPr>
        <w:spacing w:after="120"/>
      </w:pPr>
      <w:r>
        <w:rPr>
          <w:b/>
          <w:sz w:val="21"/>
        </w:rPr>
        <w:t xml:space="preserve">Suivi interne</w:t>
      </w:r>
    </w:p>
    <w:tbl>
      <w:tblPr>
        <w:tblW w:w="9026" w:type="dxa"/>
        <w:tblBorders>
          <w:top w:val="single" w:sz="4" w:color="CCCCCC"/>
          <w:left w:val="single" w:sz="4" w:color="CCCCCC"/>
          <w:bottom w:val="single" w:sz="4" w:color="CCCCCC"/>
          <w:right w:val="single" w:sz="4" w:color="CCCCCC"/>
          <w:insideH w:val="single" w:sz="4" w:color="CCCCCC"/>
          <w:insideV w:val="single" w:sz="4" w:color="CCCCCC"/>
        </w:tblBorders>
      </w:tblPr>
      <w:tblGrid>
        <w:gridCol w:w="2256"/>
        <w:gridCol w:w="2256"/>
        <w:gridCol w:w="2256"/>
        <w:gridCol w:w="2256"/>
      </w:tblGrid>
      <w:tr>
        <w:tc>
          <w:tcPr>
            <w:tcW w:w="2256" w:type="dxa"/>
            <w:shd w:val="clear" w:fill="0B1029"/>
          </w:tcPr>
          <w:p>
            <w:r>
              <w:rPr>
                <w:b/>
                <w:color w:val="FFFFFF"/>
                <w:sz w:val="19"/>
              </w:rPr>
              <w:t xml:space="preserve">Démarche</w:t>
            </w:r>
          </w:p>
        </w:tc>
        <w:tc>
          <w:tcPr>
            <w:tcW w:w="2256" w:type="dxa"/>
            <w:shd w:val="clear" w:fill="0B1029"/>
          </w:tcPr>
          <w:p>
            <w:r>
              <w:rPr>
                <w:b/>
                <w:color w:val="FFFFFF"/>
                <w:sz w:val="19"/>
              </w:rPr>
              <w:t xml:space="preserve">Date</w:t>
            </w:r>
          </w:p>
        </w:tc>
        <w:tc>
          <w:tcPr>
            <w:tcW w:w="2256" w:type="dxa"/>
            <w:shd w:val="clear" w:fill="0B1029"/>
          </w:tcPr>
          <w:p>
            <w:r>
              <w:rPr>
                <w:b/>
                <w:color w:val="FFFFFF"/>
                <w:sz w:val="19"/>
              </w:rPr>
              <w:t xml:space="preserve">Responsable</w:t>
            </w:r>
          </w:p>
        </w:tc>
        <w:tc>
          <w:tcPr>
            <w:tcW w:w="2256" w:type="dxa"/>
            <w:shd w:val="clear" w:fill="0B1029"/>
          </w:tcPr>
          <w:p>
            <w:r>
              <w:rPr>
                <w:b/>
                <w:color w:val="FFFFFF"/>
                <w:sz w:val="19"/>
              </w:rPr>
              <w:t xml:space="preserve">Statut</w:t>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bl>
    <w:p/>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l'administration compétente ou un professionnel du droit — ce document ne remplace pas l'original délivré par les autorités avant toute utilisation officielle, et adaptez-le à votre situation réelle.</w:t>
      </w:r>
    </w:p>
    <w:p>
      <w:pPr>
        <w:spacing w:before="360"/>
        <w:pBdr>
          <w:top w:val="single" w:sz="4" w:space="6" w:color="D9D9D9"/>
        </w:pBdr>
      </w:pPr>
      <w:r>
        <w:rPr>
          <w:sz w:val="14"/>
          <w:color w:val="9CA3AF"/>
        </w:rPr>
        <w:t xml:space="preserve">Réf. document : GA-DOCUMENT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Documents d'importation — fiche informative</dc:title>
  <dc:creator>GROUP ARC</dc:creator>
  <cp:lastModifiedBy>GROUP ARC</cp:lastModifiedBy>
  <dcterms:created xsi:type="dcterms:W3CDTF">2026-08-25T09:11:38Z</dcterms:created>
  <dcterms:modified xsi:type="dcterms:W3CDTF">2026-08-25T09:11:38Z</dcterms:modified>
</cp:coreProperties>
</file>