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Checklist — Déclaration Statistique et Fiscale (DSF) Annuelle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3008"/>
        <w:gridCol w:w="3008"/>
        <w:gridCol w:w="3008"/>
      </w:tblGrid>
      <w:tr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Élément à joindre</w:t>
            </w:r>
          </w:p>
        </w:tc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Prêt (Oui/Non)</w:t>
            </w:r>
          </w:p>
        </w:tc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Observations</w:t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>États financiers annuels (Bilan, Compte de résultat, TFT, Notes annexes)</w:t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>Tableau des immobilisations et amortissements</w:t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>État des stocks</w:t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>Justificatifs fiscaux de l'exercice (TVA, AIB, ITS/VPS déclarés)</w:t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>Rapport du commissaire aux comptes (si applicable)</w:t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>Informations statistiques complémentaires demandées par la DGI</w:t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— la DSF se dépose via les téléprocédures de la DGI dans les délais légaux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GA-CHECKLIS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Checklist — Déclaration Statistique et Fiscale (DSF) annuelle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