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Bulletin de Paie</w:t>
      </w:r>
    </w:p>
    <w:p>
      <w:pPr>
        <w:spacing w:after="160"/>
      </w:pPr>
      <w:r>
        <w:rPr>
          <w:b/>
          <w:sz w:val="21"/>
        </w:rPr>
        <w:t xml:space="preserve">Nom et prénoms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Matricule / N° CNSS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Poste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Catégorie professionnelle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Élément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Base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Taux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Salaire de base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Primes et indemnités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Salaire brut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Cotisation CNSS salariale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ITS (retenue)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Salaire net à payer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gestionnaire de paie ou expert-comptable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GA-BULLETIN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Bulletin de paie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